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125"/>
          <w:tab w:val="center" w:leader="none" w:pos="7920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</w:t>
      </w:r>
      <w:r w:rsidDel="00000000" w:rsidR="00000000" w:rsidRPr="00000000">
        <w:rPr>
          <w:b w:val="1"/>
          <w:rtl w:val="0"/>
        </w:rPr>
        <w:t xml:space="preserve">MARZO 7° BÁSICO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 DEL MES: “RESPETO”.</w:t>
      </w:r>
    </w:p>
    <w:tbl>
      <w:tblPr>
        <w:tblStyle w:val="Table1"/>
        <w:tblW w:w="15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2655"/>
        <w:gridCol w:w="3255"/>
        <w:gridCol w:w="2985"/>
        <w:gridCol w:w="3615"/>
        <w:tblGridChange w:id="0">
          <w:tblGrid>
            <w:gridCol w:w="3240"/>
            <w:gridCol w:w="2655"/>
            <w:gridCol w:w="3255"/>
            <w:gridCol w:w="2985"/>
            <w:gridCol w:w="361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3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LUNES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4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MARTES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5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MIÉRCOLES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JUEVES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VIERNES 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LENGUAJE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MATEMÁTICAS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HISTORIA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INGLES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Formación: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“Reconocimiento al día de la mujer” y  “Semana contra el ciberacoso (10 - 14 de marzo)”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Primer Ciclo y Prebásica (16:30 hrs).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Segundo ciclo (16:30 hrs).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DIAGNÓSTICO DE MÚSICA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1° Jeans Day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Recaudación de fondos Centro Estudiantes ($500 p/p)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Taller socioemocional 2° bloque.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Primera asamblea CGP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(08:00 horas)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Proyecto Valórico: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N°1 - 2° bloque.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Inglés: Actividad en clases.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right"/>
              <w:rPr>
                <w:color w:val="274e13"/>
                <w:sz w:val="20"/>
                <w:szCs w:val="20"/>
              </w:rPr>
            </w:pPr>
            <w:r w:rsidDel="00000000" w:rsidR="00000000" w:rsidRPr="00000000">
              <w:rPr>
                <w:color w:val="274e13"/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  <w:color w:val="274e1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74e13"/>
                <w:sz w:val="20"/>
                <w:szCs w:val="20"/>
                <w:rtl w:val="0"/>
              </w:rPr>
              <w:t xml:space="preserve">CIENCIAS: Clasificación de la materia.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 consejo escolar 2025 (10:00 hrs)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Lenguaje: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habilidades de comprensión lectora.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9900"/>
                <w:sz w:val="20"/>
                <w:szCs w:val="20"/>
                <w:rtl w:val="0"/>
              </w:rPr>
              <w:t xml:space="preserve">HISTORIA: Proceso inicial de Hominización</w:t>
            </w:r>
            <w:r w:rsidDel="00000000" w:rsidR="00000000" w:rsidRPr="00000000">
              <w:rPr>
                <w:color w:val="ff99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Matemáticas: Fracciones, Razones y proporciones.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Álgebra.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Efeméride #1: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“Día de la Actividad Física”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(2° y 3° Bloque).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240" w:lineRule="auto"/>
              <w:ind w:left="283.4645669291342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N°1. Ed. física. Estaciones de juegos.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Microsoft Yahei" w:cs="Microsoft Yahei" w:eastAsia="Microsoft Yahei" w:hAnsi="Microsoft Yahe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diplomas valor de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18"/>
                <w:szCs w:val="18"/>
                <w:rtl w:val="0"/>
              </w:rPr>
              <w:t xml:space="preserve"> marzo.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de calendario de evaluaciones de abril.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c0xn+/Ya29yicAHmbsIIon6NA==">CgMxLjAyCGguZ2pkZ3hzOAByITFTY0pLMlRkT0Q1LWc2TTcwOUJNNndGYmV5Q1NKV1AxUA==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2025-02-27T14:49:00Z</dcterms:created>
  <dc:creator>Hewlett Packard</dc:creator>
</cp:coreProperties>
</file>